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EA83" w14:textId="41CFE013" w:rsidR="00620166" w:rsidRDefault="00620166" w:rsidP="00E6794F">
      <w:pPr>
        <w:rPr>
          <w:rFonts w:ascii="Arial" w:hAnsi="Arial" w:cs="Arial"/>
          <w:b/>
          <w:bCs/>
        </w:rPr>
      </w:pPr>
      <w:r>
        <w:rPr>
          <w:rFonts w:ascii="Arial" w:hAnsi="Arial"/>
          <w:b/>
          <w:noProof/>
          <w:szCs w:val="36"/>
        </w:rPr>
        <w:drawing>
          <wp:anchor distT="0" distB="0" distL="114300" distR="114300" simplePos="0" relativeHeight="251659264" behindDoc="0" locked="0" layoutInCell="1" allowOverlap="1" wp14:anchorId="0420E7E3" wp14:editId="63DAB673">
            <wp:simplePos x="0" y="0"/>
            <wp:positionH relativeFrom="column">
              <wp:posOffset>4657725</wp:posOffset>
            </wp:positionH>
            <wp:positionV relativeFrom="paragraph">
              <wp:posOffset>0</wp:posOffset>
            </wp:positionV>
            <wp:extent cx="1275715" cy="1095375"/>
            <wp:effectExtent l="0" t="0" r="0" b="9525"/>
            <wp:wrapSquare wrapText="bothSides"/>
            <wp:docPr id="2" name="Picture 31" descr="Logo - 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 H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71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2C2C2" w14:textId="695D77F5" w:rsidR="005D4BA2" w:rsidRDefault="00620166" w:rsidP="00E6794F">
      <w:pPr>
        <w:rPr>
          <w:rFonts w:ascii="Arial" w:hAnsi="Arial" w:cs="Arial"/>
          <w:b/>
          <w:bCs/>
        </w:rPr>
      </w:pPr>
      <w:r>
        <w:rPr>
          <w:rFonts w:ascii="Arial" w:hAnsi="Arial" w:cs="Arial"/>
          <w:b/>
          <w:bCs/>
        </w:rPr>
        <w:t>H</w:t>
      </w:r>
      <w:r w:rsidR="00D7646E">
        <w:rPr>
          <w:rFonts w:ascii="Arial" w:hAnsi="Arial" w:cs="Arial"/>
          <w:b/>
          <w:bCs/>
        </w:rPr>
        <w:t>awthorn Academy</w:t>
      </w:r>
    </w:p>
    <w:p w14:paraId="4A166E68" w14:textId="76BB5083" w:rsidR="00E6794F" w:rsidRPr="002C0A5C" w:rsidRDefault="004A12B8" w:rsidP="00E6794F">
      <w:pPr>
        <w:rPr>
          <w:rFonts w:ascii="Arial" w:hAnsi="Arial" w:cs="Arial"/>
        </w:rPr>
      </w:pPr>
      <w:r>
        <w:rPr>
          <w:rFonts w:ascii="Arial" w:hAnsi="Arial" w:cs="Arial"/>
          <w:b/>
          <w:bCs/>
        </w:rPr>
        <w:t xml:space="preserve">Policy: </w:t>
      </w:r>
      <w:r w:rsidR="006F3CBF">
        <w:rPr>
          <w:rFonts w:ascii="Arial" w:hAnsi="Arial" w:cs="Arial"/>
          <w:b/>
          <w:bCs/>
        </w:rPr>
        <w:t>Salary Supplement for Highly Needed Educators Program</w:t>
      </w:r>
      <w:r w:rsidR="00E6794F" w:rsidRPr="002C0A5C">
        <w:rPr>
          <w:rFonts w:ascii="Arial" w:hAnsi="Arial" w:cs="Arial"/>
          <w:b/>
          <w:bCs/>
        </w:rPr>
        <w:t xml:space="preserve"> Policy</w:t>
      </w:r>
    </w:p>
    <w:p w14:paraId="59967521" w14:textId="226B9A69" w:rsidR="00E6794F" w:rsidRPr="002C0A5C" w:rsidRDefault="00E6794F" w:rsidP="00E6794F">
      <w:pPr>
        <w:rPr>
          <w:rFonts w:ascii="Arial" w:hAnsi="Arial" w:cs="Arial"/>
          <w:b/>
        </w:rPr>
      </w:pPr>
      <w:r w:rsidRPr="002C0A5C">
        <w:rPr>
          <w:rFonts w:ascii="Arial" w:hAnsi="Arial" w:cs="Arial"/>
          <w:b/>
        </w:rPr>
        <w:t xml:space="preserve">Adopted: </w:t>
      </w:r>
      <w:r w:rsidR="00210EE6">
        <w:rPr>
          <w:rFonts w:ascii="Arial" w:hAnsi="Arial" w:cs="Arial"/>
          <w:b/>
        </w:rPr>
        <w:t>05.28.2025</w:t>
      </w:r>
    </w:p>
    <w:p w14:paraId="7DD2E383" w14:textId="77777777" w:rsidR="00383F9B" w:rsidRDefault="00383F9B" w:rsidP="00383F9B">
      <w:pPr>
        <w:pStyle w:val="NormalWeb"/>
        <w:spacing w:before="0" w:beforeAutospacing="0" w:after="0" w:afterAutospacing="0"/>
        <w:rPr>
          <w:rFonts w:ascii="Arial" w:hAnsi="Arial" w:cs="Arial"/>
          <w:b/>
          <w:bCs/>
        </w:rPr>
      </w:pPr>
    </w:p>
    <w:p w14:paraId="329091EE" w14:textId="77777777" w:rsidR="00282B09" w:rsidRPr="007074DD" w:rsidRDefault="00282B09" w:rsidP="00282B09">
      <w:pPr>
        <w:rPr>
          <w:rFonts w:ascii="Arial" w:hAnsi="Arial" w:cs="Arial"/>
          <w:b/>
          <w:bCs/>
        </w:rPr>
      </w:pPr>
      <w:r w:rsidRPr="007074DD">
        <w:rPr>
          <w:rFonts w:ascii="Arial" w:hAnsi="Arial" w:cs="Arial"/>
          <w:b/>
          <w:bCs/>
        </w:rPr>
        <w:t>Purpose</w:t>
      </w:r>
    </w:p>
    <w:p w14:paraId="6F3B2A2E" w14:textId="77777777" w:rsidR="00282B09" w:rsidRDefault="00282B09" w:rsidP="00282B09">
      <w:pPr>
        <w:rPr>
          <w:rFonts w:ascii="Arial" w:hAnsi="Arial" w:cs="Arial"/>
          <w:b/>
          <w:bCs/>
        </w:rPr>
      </w:pPr>
    </w:p>
    <w:p w14:paraId="4BCE14EE" w14:textId="3CB91667" w:rsidR="00282B09" w:rsidRDefault="00282B09" w:rsidP="00282B09">
      <w:pPr>
        <w:rPr>
          <w:rFonts w:ascii="Arial" w:hAnsi="Arial" w:cs="Arial"/>
        </w:rPr>
      </w:pPr>
      <w:r>
        <w:rPr>
          <w:rFonts w:ascii="Arial" w:hAnsi="Arial" w:cs="Arial"/>
        </w:rPr>
        <w:t xml:space="preserve">The purpose of this policy is to describe how Hawthorn Academy (the “School”) administers the Salary Supplement for Highly Needed Educators (“SHiNE”) Program. This policy is meant to comply with the requirements of Utah Code </w:t>
      </w:r>
      <w:r w:rsidRPr="0039753A">
        <w:rPr>
          <w:rFonts w:ascii="Arial" w:hAnsi="Arial" w:cs="Arial"/>
        </w:rPr>
        <w:t xml:space="preserve">§ </w:t>
      </w:r>
      <w:r>
        <w:rPr>
          <w:rFonts w:ascii="Arial" w:hAnsi="Arial" w:cs="Arial"/>
        </w:rPr>
        <w:t>53F-2-504.</w:t>
      </w:r>
    </w:p>
    <w:p w14:paraId="3C05CFCB" w14:textId="77777777" w:rsidR="00282B09" w:rsidRDefault="00282B09" w:rsidP="00282B09">
      <w:pPr>
        <w:rPr>
          <w:rFonts w:ascii="Arial" w:hAnsi="Arial" w:cs="Arial"/>
        </w:rPr>
      </w:pPr>
    </w:p>
    <w:p w14:paraId="460176B6" w14:textId="77777777" w:rsidR="00282B09" w:rsidRDefault="00282B09" w:rsidP="00282B09">
      <w:pPr>
        <w:rPr>
          <w:rFonts w:ascii="Arial" w:hAnsi="Arial" w:cs="Arial"/>
          <w:b/>
          <w:bCs/>
        </w:rPr>
      </w:pPr>
      <w:r>
        <w:rPr>
          <w:rFonts w:ascii="Arial" w:hAnsi="Arial" w:cs="Arial"/>
          <w:b/>
          <w:bCs/>
        </w:rPr>
        <w:t>Definitions</w:t>
      </w:r>
    </w:p>
    <w:p w14:paraId="41340766" w14:textId="77777777" w:rsidR="00282B09" w:rsidRDefault="00282B09" w:rsidP="00282B09">
      <w:pPr>
        <w:rPr>
          <w:rFonts w:ascii="Arial" w:hAnsi="Arial" w:cs="Arial"/>
          <w:b/>
          <w:bCs/>
        </w:rPr>
      </w:pPr>
    </w:p>
    <w:p w14:paraId="040CA162" w14:textId="77777777" w:rsidR="00282B09" w:rsidRDefault="00282B09" w:rsidP="00282B09">
      <w:pPr>
        <w:rPr>
          <w:rFonts w:ascii="Arial" w:hAnsi="Arial" w:cs="Arial"/>
        </w:rPr>
      </w:pPr>
      <w:r>
        <w:rPr>
          <w:rFonts w:ascii="Arial" w:hAnsi="Arial" w:cs="Arial"/>
        </w:rPr>
        <w:t>“Eligible teacher” means a teacher who:</w:t>
      </w:r>
    </w:p>
    <w:p w14:paraId="7397F175" w14:textId="77777777" w:rsidR="00282B09" w:rsidRDefault="00282B09" w:rsidP="00282B09">
      <w:pPr>
        <w:ind w:left="720" w:hanging="360"/>
        <w:rPr>
          <w:rFonts w:ascii="Arial" w:hAnsi="Arial" w:cs="Arial"/>
        </w:rPr>
      </w:pPr>
      <w:r>
        <w:rPr>
          <w:rFonts w:ascii="Arial" w:hAnsi="Arial" w:cs="Arial"/>
        </w:rPr>
        <w:t>(a)</w:t>
      </w:r>
      <w:r>
        <w:rPr>
          <w:rFonts w:ascii="Arial" w:hAnsi="Arial" w:cs="Arial"/>
        </w:rPr>
        <w:tab/>
        <w:t>has a qualifying assignment;</w:t>
      </w:r>
    </w:p>
    <w:p w14:paraId="271712F0" w14:textId="77777777" w:rsidR="00282B09" w:rsidRDefault="00282B09" w:rsidP="00282B09">
      <w:pPr>
        <w:ind w:left="720" w:hanging="360"/>
        <w:rPr>
          <w:rFonts w:ascii="Arial" w:hAnsi="Arial" w:cs="Arial"/>
        </w:rPr>
      </w:pPr>
      <w:r>
        <w:rPr>
          <w:rFonts w:ascii="Arial" w:hAnsi="Arial" w:cs="Arial"/>
        </w:rPr>
        <w:t>(b)</w:t>
      </w:r>
      <w:r>
        <w:rPr>
          <w:rFonts w:ascii="Arial" w:hAnsi="Arial" w:cs="Arial"/>
        </w:rPr>
        <w:tab/>
        <w:t>qualifies for the teacher’s assignment in accordance with an LEA’s policy; and</w:t>
      </w:r>
    </w:p>
    <w:p w14:paraId="3B3E375C" w14:textId="77777777" w:rsidR="00282B09" w:rsidRDefault="00282B09" w:rsidP="00282B09">
      <w:pPr>
        <w:ind w:left="720" w:hanging="360"/>
        <w:rPr>
          <w:rFonts w:ascii="Arial" w:hAnsi="Arial" w:cs="Arial"/>
        </w:rPr>
      </w:pPr>
      <w:r>
        <w:rPr>
          <w:rFonts w:ascii="Arial" w:hAnsi="Arial" w:cs="Arial"/>
        </w:rPr>
        <w:t xml:space="preserve">(c) is a new employee </w:t>
      </w:r>
      <w:r>
        <w:rPr>
          <w:rFonts w:ascii="Arial" w:hAnsi="Arial" w:cs="Arial"/>
          <w:u w:val="single"/>
        </w:rPr>
        <w:t>or</w:t>
      </w:r>
      <w:r>
        <w:rPr>
          <w:rFonts w:ascii="Arial" w:hAnsi="Arial" w:cs="Arial"/>
        </w:rPr>
        <w:t xml:space="preserve"> has not received an unsatisfactory rating on the teacher’s three most recent evaluations.</w:t>
      </w:r>
    </w:p>
    <w:p w14:paraId="5CDEAAC6" w14:textId="77777777" w:rsidR="00282B09" w:rsidRDefault="00282B09" w:rsidP="00282B09">
      <w:pPr>
        <w:rPr>
          <w:rFonts w:ascii="Arial" w:hAnsi="Arial" w:cs="Arial"/>
        </w:rPr>
      </w:pPr>
    </w:p>
    <w:p w14:paraId="654A4C6A" w14:textId="77777777" w:rsidR="00282B09" w:rsidRDefault="00282B09" w:rsidP="00282B09">
      <w:pPr>
        <w:rPr>
          <w:rFonts w:ascii="Arial" w:hAnsi="Arial" w:cs="Arial"/>
        </w:rPr>
      </w:pPr>
      <w:r>
        <w:rPr>
          <w:rFonts w:ascii="Arial" w:hAnsi="Arial" w:cs="Arial"/>
        </w:rPr>
        <w:t>“Qualifying assignment” means a teacher who is assigned to a high-needs area.</w:t>
      </w:r>
    </w:p>
    <w:p w14:paraId="6E625A38" w14:textId="77777777" w:rsidR="00282B09" w:rsidRDefault="00282B09" w:rsidP="00282B09">
      <w:pPr>
        <w:rPr>
          <w:rFonts w:ascii="Arial" w:hAnsi="Arial" w:cs="Arial"/>
        </w:rPr>
      </w:pPr>
    </w:p>
    <w:p w14:paraId="4E2BFCC5" w14:textId="77777777" w:rsidR="00282B09" w:rsidRDefault="00282B09" w:rsidP="00282B09">
      <w:pPr>
        <w:rPr>
          <w:rFonts w:ascii="Arial" w:hAnsi="Arial" w:cs="Arial"/>
        </w:rPr>
      </w:pPr>
      <w:r>
        <w:rPr>
          <w:rFonts w:ascii="Arial" w:hAnsi="Arial" w:cs="Arial"/>
        </w:rPr>
        <w:t xml:space="preserve">“High-needs area” means at least two and up to five teaching assignments that an LEA designates in a policy as challenging to fill or retain. </w:t>
      </w:r>
    </w:p>
    <w:p w14:paraId="088CF719" w14:textId="77777777" w:rsidR="00282B09" w:rsidRPr="006D59FA" w:rsidRDefault="00282B09" w:rsidP="00282B09">
      <w:pPr>
        <w:ind w:left="720" w:hanging="360"/>
        <w:rPr>
          <w:rFonts w:ascii="Arial" w:hAnsi="Arial" w:cs="Arial"/>
        </w:rPr>
      </w:pPr>
    </w:p>
    <w:p w14:paraId="22F03248" w14:textId="77777777" w:rsidR="00282B09" w:rsidRDefault="00282B09" w:rsidP="00282B09">
      <w:pPr>
        <w:rPr>
          <w:rFonts w:ascii="Arial" w:hAnsi="Arial" w:cs="Arial"/>
          <w:b/>
          <w:bCs/>
        </w:rPr>
      </w:pPr>
      <w:r w:rsidRPr="007074DD">
        <w:rPr>
          <w:rFonts w:ascii="Arial" w:hAnsi="Arial" w:cs="Arial"/>
          <w:b/>
          <w:bCs/>
        </w:rPr>
        <w:t>Policy</w:t>
      </w:r>
    </w:p>
    <w:p w14:paraId="73C5B078" w14:textId="77777777" w:rsidR="00282B09" w:rsidRDefault="00282B09" w:rsidP="00282B09">
      <w:pPr>
        <w:rPr>
          <w:rFonts w:ascii="Arial" w:hAnsi="Arial" w:cs="Arial"/>
          <w:b/>
          <w:bCs/>
        </w:rPr>
      </w:pPr>
    </w:p>
    <w:p w14:paraId="020FF444" w14:textId="77777777" w:rsidR="00282B09" w:rsidRDefault="00282B09" w:rsidP="00282B09">
      <w:pPr>
        <w:rPr>
          <w:rFonts w:ascii="Arial" w:hAnsi="Arial" w:cs="Arial"/>
          <w:u w:val="single"/>
        </w:rPr>
      </w:pPr>
      <w:r>
        <w:rPr>
          <w:rFonts w:ascii="Arial" w:hAnsi="Arial" w:cs="Arial"/>
          <w:u w:val="single"/>
        </w:rPr>
        <w:t>High-Needs Areas</w:t>
      </w:r>
    </w:p>
    <w:p w14:paraId="391A942B" w14:textId="77777777" w:rsidR="00282B09" w:rsidRPr="009D1570" w:rsidRDefault="00282B09" w:rsidP="00282B09">
      <w:pPr>
        <w:rPr>
          <w:rFonts w:ascii="Arial" w:hAnsi="Arial" w:cs="Arial"/>
          <w:u w:val="single"/>
        </w:rPr>
      </w:pPr>
    </w:p>
    <w:p w14:paraId="4BB309B1" w14:textId="24AF7C3E" w:rsidR="00282B09" w:rsidRDefault="00282B09" w:rsidP="00282B09">
      <w:pPr>
        <w:rPr>
          <w:rFonts w:ascii="Arial" w:hAnsi="Arial" w:cs="Arial"/>
        </w:rPr>
      </w:pPr>
      <w:r>
        <w:rPr>
          <w:rFonts w:ascii="Arial" w:hAnsi="Arial" w:cs="Arial"/>
        </w:rPr>
        <w:t>The following teaching assignments are designated as high-needs areas at the School:</w:t>
      </w:r>
    </w:p>
    <w:p w14:paraId="1D8D5EDA" w14:textId="77777777" w:rsidR="008F6042" w:rsidRDefault="008F6042" w:rsidP="00282B09">
      <w:pPr>
        <w:rPr>
          <w:rFonts w:ascii="Arial" w:hAnsi="Arial" w:cs="Arial"/>
        </w:rPr>
      </w:pPr>
    </w:p>
    <w:p w14:paraId="2E87B480" w14:textId="49D5E415" w:rsidR="00282B09" w:rsidRPr="000E1A49" w:rsidRDefault="00282B09" w:rsidP="00282B09">
      <w:pPr>
        <w:ind w:left="720" w:hanging="360"/>
        <w:rPr>
          <w:rFonts w:ascii="Arial" w:hAnsi="Arial" w:cs="Arial"/>
        </w:rPr>
      </w:pPr>
      <w:r w:rsidRPr="000E1A49">
        <w:rPr>
          <w:rFonts w:ascii="Arial" w:hAnsi="Arial" w:cs="Arial"/>
        </w:rPr>
        <w:t>(a)</w:t>
      </w:r>
      <w:r w:rsidRPr="000E1A49">
        <w:rPr>
          <w:rFonts w:ascii="Arial" w:hAnsi="Arial" w:cs="Arial"/>
        </w:rPr>
        <w:tab/>
        <w:t>Special Education</w:t>
      </w:r>
      <w:r w:rsidR="00EF3BAB" w:rsidRPr="000E1A49">
        <w:rPr>
          <w:rFonts w:ascii="Arial" w:hAnsi="Arial" w:cs="Arial"/>
        </w:rPr>
        <w:t xml:space="preserve"> (K-9)</w:t>
      </w:r>
      <w:r w:rsidRPr="000E1A49">
        <w:rPr>
          <w:rFonts w:ascii="Arial" w:hAnsi="Arial" w:cs="Arial"/>
        </w:rPr>
        <w:t>;</w:t>
      </w:r>
    </w:p>
    <w:p w14:paraId="27246D3D" w14:textId="21383E90" w:rsidR="00282B09" w:rsidRPr="000E1A49" w:rsidRDefault="00282B09" w:rsidP="00282B09">
      <w:pPr>
        <w:ind w:left="720" w:hanging="360"/>
        <w:rPr>
          <w:rFonts w:ascii="Arial" w:hAnsi="Arial" w:cs="Arial"/>
        </w:rPr>
      </w:pPr>
      <w:r w:rsidRPr="000E1A49">
        <w:rPr>
          <w:rFonts w:ascii="Arial" w:hAnsi="Arial" w:cs="Arial"/>
        </w:rPr>
        <w:t>(b)</w:t>
      </w:r>
      <w:r w:rsidRPr="000E1A49">
        <w:rPr>
          <w:rFonts w:ascii="Arial" w:hAnsi="Arial" w:cs="Arial"/>
        </w:rPr>
        <w:tab/>
      </w:r>
      <w:r w:rsidR="00EF3BAB" w:rsidRPr="000E1A49">
        <w:rPr>
          <w:rFonts w:ascii="Arial" w:hAnsi="Arial" w:cs="Arial"/>
        </w:rPr>
        <w:t xml:space="preserve">Secondary </w:t>
      </w:r>
      <w:r w:rsidRPr="000E1A49">
        <w:rPr>
          <w:rFonts w:ascii="Arial" w:hAnsi="Arial" w:cs="Arial"/>
        </w:rPr>
        <w:t>Science</w:t>
      </w:r>
      <w:r w:rsidR="00EF3BAB" w:rsidRPr="000E1A49">
        <w:rPr>
          <w:rFonts w:ascii="Arial" w:hAnsi="Arial" w:cs="Arial"/>
        </w:rPr>
        <w:t xml:space="preserve"> (7-9)</w:t>
      </w:r>
      <w:r w:rsidRPr="000E1A49">
        <w:rPr>
          <w:rFonts w:ascii="Arial" w:hAnsi="Arial" w:cs="Arial"/>
        </w:rPr>
        <w:t>; and</w:t>
      </w:r>
    </w:p>
    <w:p w14:paraId="15D013BC" w14:textId="2B66E016" w:rsidR="00282B09" w:rsidRDefault="00282B09" w:rsidP="00EF3BAB">
      <w:pPr>
        <w:ind w:left="720" w:hanging="360"/>
        <w:rPr>
          <w:rFonts w:ascii="Arial" w:hAnsi="Arial" w:cs="Arial"/>
        </w:rPr>
      </w:pPr>
      <w:r w:rsidRPr="000E1A49">
        <w:rPr>
          <w:rFonts w:ascii="Arial" w:hAnsi="Arial" w:cs="Arial"/>
        </w:rPr>
        <w:t>(c)</w:t>
      </w:r>
      <w:r w:rsidRPr="000E1A49">
        <w:rPr>
          <w:rFonts w:ascii="Arial" w:hAnsi="Arial" w:cs="Arial"/>
        </w:rPr>
        <w:tab/>
      </w:r>
      <w:r w:rsidR="00EF3BAB" w:rsidRPr="000E1A49">
        <w:rPr>
          <w:rFonts w:ascii="Arial" w:hAnsi="Arial" w:cs="Arial"/>
        </w:rPr>
        <w:t xml:space="preserve">Secondary </w:t>
      </w:r>
      <w:r w:rsidRPr="000E1A49">
        <w:rPr>
          <w:rFonts w:ascii="Arial" w:hAnsi="Arial" w:cs="Arial"/>
        </w:rPr>
        <w:t>Math</w:t>
      </w:r>
      <w:r w:rsidR="00EF3BAB" w:rsidRPr="000E1A49">
        <w:rPr>
          <w:rFonts w:ascii="Arial" w:hAnsi="Arial" w:cs="Arial"/>
        </w:rPr>
        <w:t xml:space="preserve"> (7-9)</w:t>
      </w:r>
      <w:r w:rsidRPr="000E1A49">
        <w:rPr>
          <w:rFonts w:ascii="Arial" w:hAnsi="Arial" w:cs="Arial"/>
        </w:rPr>
        <w:t>.</w:t>
      </w:r>
    </w:p>
    <w:p w14:paraId="6A91DB27" w14:textId="77777777" w:rsidR="00282B09" w:rsidRDefault="00282B09" w:rsidP="00282B09">
      <w:pPr>
        <w:rPr>
          <w:rFonts w:ascii="Arial" w:hAnsi="Arial" w:cs="Arial"/>
        </w:rPr>
      </w:pPr>
    </w:p>
    <w:p w14:paraId="7891486C" w14:textId="77777777" w:rsidR="00282B09" w:rsidRDefault="00282B09" w:rsidP="00282B09">
      <w:pPr>
        <w:rPr>
          <w:rFonts w:ascii="Arial" w:hAnsi="Arial" w:cs="Arial"/>
          <w:u w:val="single"/>
        </w:rPr>
      </w:pPr>
      <w:r>
        <w:rPr>
          <w:rFonts w:ascii="Arial" w:hAnsi="Arial" w:cs="Arial"/>
          <w:u w:val="single"/>
        </w:rPr>
        <w:t>Process for Determining if a Teacher is an Eligible Teacher</w:t>
      </w:r>
    </w:p>
    <w:p w14:paraId="78944E98" w14:textId="77777777" w:rsidR="00282B09" w:rsidRDefault="00282B09" w:rsidP="00282B09">
      <w:pPr>
        <w:rPr>
          <w:rFonts w:ascii="Arial" w:hAnsi="Arial" w:cs="Arial"/>
          <w:u w:val="single"/>
        </w:rPr>
      </w:pPr>
    </w:p>
    <w:p w14:paraId="6C9804B1" w14:textId="27D7FDCE" w:rsidR="00282B09" w:rsidRDefault="00282B09" w:rsidP="00282B09">
      <w:pPr>
        <w:rPr>
          <w:rFonts w:ascii="Arial" w:hAnsi="Arial" w:cs="Arial"/>
        </w:rPr>
      </w:pPr>
      <w:r>
        <w:rPr>
          <w:rFonts w:ascii="Arial" w:hAnsi="Arial" w:cs="Arial"/>
        </w:rPr>
        <w:t>The School’s Lead Director or his/her designee shall perform due diligence in determining whether a teacher meets the definition of eligible teacher as set forth in this policy.  Due diligence includes, at a minimum, verifying that a teacher:</w:t>
      </w:r>
    </w:p>
    <w:p w14:paraId="6CA3F903" w14:textId="77777777" w:rsidR="008F6042" w:rsidRDefault="008F6042" w:rsidP="00282B09">
      <w:pPr>
        <w:rPr>
          <w:rFonts w:ascii="Arial" w:hAnsi="Arial" w:cs="Arial"/>
        </w:rPr>
      </w:pPr>
    </w:p>
    <w:p w14:paraId="1EF8F4A9" w14:textId="77777777" w:rsidR="00282B09" w:rsidRDefault="00282B09" w:rsidP="00282B09">
      <w:pPr>
        <w:ind w:left="720" w:hanging="360"/>
        <w:rPr>
          <w:rFonts w:ascii="Arial" w:hAnsi="Arial" w:cs="Arial"/>
        </w:rPr>
      </w:pPr>
      <w:r>
        <w:rPr>
          <w:rFonts w:ascii="Arial" w:hAnsi="Arial" w:cs="Arial"/>
        </w:rPr>
        <w:t>(a)</w:t>
      </w:r>
      <w:r>
        <w:rPr>
          <w:rFonts w:ascii="Arial" w:hAnsi="Arial" w:cs="Arial"/>
        </w:rPr>
        <w:tab/>
        <w:t>is assigned to teach in one of the high-needs areas listed above;</w:t>
      </w:r>
    </w:p>
    <w:p w14:paraId="4FCEC2B2" w14:textId="77777777" w:rsidR="00282B09" w:rsidRDefault="00282B09" w:rsidP="00282B09">
      <w:pPr>
        <w:ind w:left="720" w:hanging="360"/>
        <w:rPr>
          <w:rFonts w:ascii="Arial" w:hAnsi="Arial" w:cs="Arial"/>
        </w:rPr>
      </w:pPr>
      <w:r>
        <w:rPr>
          <w:rFonts w:ascii="Arial" w:hAnsi="Arial" w:cs="Arial"/>
        </w:rPr>
        <w:t>(b)</w:t>
      </w:r>
      <w:r>
        <w:rPr>
          <w:rFonts w:ascii="Arial" w:hAnsi="Arial" w:cs="Arial"/>
        </w:rPr>
        <w:tab/>
        <w:t>is qualified to teach in the high-needs area (qualification factors to consider include, but are not limited to, licensure, training, education, experience, and skills); and</w:t>
      </w:r>
    </w:p>
    <w:p w14:paraId="4A10158F" w14:textId="77777777" w:rsidR="00282B09" w:rsidRDefault="00282B09" w:rsidP="00282B09">
      <w:pPr>
        <w:ind w:left="720" w:hanging="360"/>
        <w:rPr>
          <w:rFonts w:ascii="Arial" w:hAnsi="Arial" w:cs="Arial"/>
        </w:rPr>
      </w:pPr>
      <w:r>
        <w:rPr>
          <w:rFonts w:ascii="Arial" w:hAnsi="Arial" w:cs="Arial"/>
        </w:rPr>
        <w:lastRenderedPageBreak/>
        <w:t>(c)</w:t>
      </w:r>
      <w:r>
        <w:rPr>
          <w:rFonts w:ascii="Arial" w:hAnsi="Arial" w:cs="Arial"/>
        </w:rPr>
        <w:tab/>
        <w:t xml:space="preserve">is a new employee of the School </w:t>
      </w:r>
      <w:r w:rsidRPr="00951C43">
        <w:rPr>
          <w:rFonts w:ascii="Arial" w:hAnsi="Arial" w:cs="Arial"/>
          <w:u w:val="single"/>
        </w:rPr>
        <w:t>or</w:t>
      </w:r>
      <w:r>
        <w:rPr>
          <w:rFonts w:ascii="Arial" w:hAnsi="Arial" w:cs="Arial"/>
        </w:rPr>
        <w:t xml:space="preserve"> is not a new employee of the School but has not received an unsatisfactory rating on the teacher’s three most recent evaluations</w:t>
      </w:r>
      <w:r w:rsidRPr="00951C43">
        <w:rPr>
          <w:rFonts w:ascii="Arial" w:hAnsi="Arial" w:cs="Arial"/>
        </w:rPr>
        <w:t xml:space="preserve"> </w:t>
      </w:r>
      <w:r>
        <w:rPr>
          <w:rFonts w:ascii="Arial" w:hAnsi="Arial" w:cs="Arial"/>
        </w:rPr>
        <w:t>from the School.</w:t>
      </w:r>
    </w:p>
    <w:p w14:paraId="6617E231" w14:textId="77777777" w:rsidR="00282B09" w:rsidRDefault="00282B09" w:rsidP="00282B09">
      <w:pPr>
        <w:rPr>
          <w:rFonts w:ascii="Arial" w:hAnsi="Arial" w:cs="Arial"/>
        </w:rPr>
      </w:pPr>
    </w:p>
    <w:p w14:paraId="3D4D6A70" w14:textId="62C705C3" w:rsidR="00282B09" w:rsidRDefault="00282B09" w:rsidP="00282B09">
      <w:pPr>
        <w:rPr>
          <w:rFonts w:ascii="Arial" w:hAnsi="Arial" w:cs="Arial"/>
        </w:rPr>
      </w:pPr>
      <w:r>
        <w:rPr>
          <w:rFonts w:ascii="Arial" w:hAnsi="Arial" w:cs="Arial"/>
        </w:rPr>
        <w:t>On an annual basis, the School’s Lead Director or his/her designee shall create a list of all teachers who have been determined to meet the definition of eligible teacher under this policy.</w:t>
      </w:r>
    </w:p>
    <w:p w14:paraId="5DF90F18" w14:textId="77777777" w:rsidR="00282B09" w:rsidRDefault="00282B09" w:rsidP="00282B09">
      <w:pPr>
        <w:rPr>
          <w:rFonts w:ascii="Arial" w:hAnsi="Arial" w:cs="Arial"/>
        </w:rPr>
      </w:pPr>
    </w:p>
    <w:p w14:paraId="36C505B4" w14:textId="77777777" w:rsidR="00282B09" w:rsidRDefault="00282B09" w:rsidP="00282B09">
      <w:pPr>
        <w:rPr>
          <w:rFonts w:ascii="Arial" w:hAnsi="Arial" w:cs="Arial"/>
          <w:u w:val="single"/>
        </w:rPr>
      </w:pPr>
      <w:r>
        <w:rPr>
          <w:rFonts w:ascii="Arial" w:hAnsi="Arial" w:cs="Arial"/>
          <w:u w:val="single"/>
        </w:rPr>
        <w:t>Process for Certifying a List of Eligible Teachers to be Awarded a Salary Supplement</w:t>
      </w:r>
    </w:p>
    <w:p w14:paraId="3F789924" w14:textId="77777777" w:rsidR="00282B09" w:rsidRDefault="00282B09" w:rsidP="00282B09">
      <w:pPr>
        <w:rPr>
          <w:rFonts w:ascii="Arial" w:hAnsi="Arial" w:cs="Arial"/>
          <w:u w:val="single"/>
        </w:rPr>
      </w:pPr>
    </w:p>
    <w:p w14:paraId="1097D040" w14:textId="1A040E46" w:rsidR="00282B09" w:rsidRDefault="00282B09" w:rsidP="00282B09">
      <w:pPr>
        <w:rPr>
          <w:rFonts w:ascii="Arial" w:hAnsi="Arial" w:cs="Arial"/>
        </w:rPr>
      </w:pPr>
      <w:r>
        <w:rPr>
          <w:rFonts w:ascii="Arial" w:hAnsi="Arial" w:cs="Arial"/>
        </w:rPr>
        <w:t>On an annual basis, the School’s Lead Director or his/her designee shall review the list of all teachers who have been determined to meet the definition of eligible teacher under this policy and shall make any changes to the list he/she feels is necessary.  The list is considered certified by the School’s Lead Director or his/her designee when he/she</w:t>
      </w:r>
      <w:r w:rsidR="00BA3573">
        <w:rPr>
          <w:rFonts w:ascii="Arial" w:hAnsi="Arial" w:cs="Arial"/>
        </w:rPr>
        <w:t xml:space="preserve"> </w:t>
      </w:r>
      <w:ins w:id="0" w:author="Platte Nielson" w:date="2026-05-29T14:36:00Z" w16du:dateUtc="2026-05-29T20:36:00Z">
        <w:r w:rsidR="00BA3573">
          <w:rPr>
            <w:rFonts w:ascii="Arial" w:hAnsi="Arial" w:cs="Arial"/>
          </w:rPr>
          <w:t>finalizes the list with accounting or human resources</w:t>
        </w:r>
      </w:ins>
      <w:del w:id="1" w:author="Platte Nielson" w:date="2026-05-29T14:37:00Z" w16du:dateUtc="2026-05-29T20:37:00Z">
        <w:r w:rsidR="00BA3573" w:rsidRPr="000D7CD2" w:rsidDel="00E24356">
          <w:rPr>
            <w:rFonts w:ascii="Arial" w:hAnsi="Arial" w:cs="Arial"/>
          </w:rPr>
          <w:delText xml:space="preserve">sends, or causes to be sent, the list to payroll for processing of the salary supplement payment under the </w:delText>
        </w:r>
        <w:r w:rsidR="00BA3573" w:rsidDel="00E24356">
          <w:rPr>
            <w:rFonts w:ascii="Arial" w:hAnsi="Arial" w:cs="Arial"/>
          </w:rPr>
          <w:delText xml:space="preserve">SHiNE </w:delText>
        </w:r>
        <w:r w:rsidR="00BA3573" w:rsidRPr="000D7CD2" w:rsidDel="00E24356">
          <w:rPr>
            <w:rFonts w:ascii="Arial" w:hAnsi="Arial" w:cs="Arial"/>
          </w:rPr>
          <w:delText>Program</w:delText>
        </w:r>
      </w:del>
      <w:r w:rsidR="00BA3573" w:rsidRPr="000D7CD2">
        <w:rPr>
          <w:rFonts w:ascii="Arial" w:hAnsi="Arial" w:cs="Arial"/>
        </w:rPr>
        <w:t>.</w:t>
      </w:r>
    </w:p>
    <w:p w14:paraId="2B1CD662" w14:textId="77777777" w:rsidR="00282B09" w:rsidRDefault="00282B09" w:rsidP="00282B09">
      <w:pPr>
        <w:rPr>
          <w:rFonts w:ascii="Arial" w:hAnsi="Arial" w:cs="Arial"/>
          <w:u w:val="single"/>
        </w:rPr>
      </w:pPr>
    </w:p>
    <w:p w14:paraId="0C592ABF" w14:textId="77777777" w:rsidR="00282B09" w:rsidRDefault="00282B09" w:rsidP="00282B09">
      <w:pPr>
        <w:rPr>
          <w:rFonts w:ascii="Arial" w:hAnsi="Arial" w:cs="Arial"/>
          <w:u w:val="single"/>
        </w:rPr>
      </w:pPr>
      <w:bookmarkStart w:id="2" w:name="_Hlk195196763"/>
      <w:r>
        <w:rPr>
          <w:rFonts w:ascii="Arial" w:hAnsi="Arial" w:cs="Arial"/>
          <w:u w:val="single"/>
        </w:rPr>
        <w:t>Salary Supplement Amount</w:t>
      </w:r>
    </w:p>
    <w:p w14:paraId="53C99D41" w14:textId="77777777" w:rsidR="00282B09" w:rsidRDefault="00282B09" w:rsidP="00282B09">
      <w:pPr>
        <w:rPr>
          <w:rFonts w:ascii="Arial" w:hAnsi="Arial" w:cs="Arial"/>
          <w:u w:val="single"/>
        </w:rPr>
      </w:pPr>
    </w:p>
    <w:p w14:paraId="63E6FDA3" w14:textId="77777777" w:rsidR="008F2C15" w:rsidRDefault="00282B09" w:rsidP="00282B09">
      <w:pPr>
        <w:rPr>
          <w:ins w:id="3" w:author="Platte Nielson" w:date="2026-05-22T14:28:00Z" w16du:dateUtc="2026-05-22T20:28:00Z"/>
          <w:rFonts w:ascii="Arial" w:hAnsi="Arial" w:cs="Arial"/>
        </w:rPr>
      </w:pPr>
      <w:r>
        <w:rPr>
          <w:rFonts w:ascii="Arial" w:hAnsi="Arial" w:cs="Arial"/>
        </w:rPr>
        <w:t xml:space="preserve">All teachers at the School determined to be eligible teachers under this policy (i.e., all teachers on the certified list described above) shall receive a salary supplement under the SHiNE Program in an amount </w:t>
      </w:r>
      <w:del w:id="4" w:author="Platte Nielson" w:date="2026-05-22T14:28:00Z" w16du:dateUtc="2026-05-22T20:28:00Z">
        <w:r w:rsidDel="008F2C15">
          <w:rPr>
            <w:rFonts w:ascii="Arial" w:hAnsi="Arial" w:cs="Arial"/>
          </w:rPr>
          <w:delText>commensurate</w:delText>
        </w:r>
      </w:del>
      <w:ins w:id="5" w:author="Platte Nielson" w:date="2026-05-22T14:28:00Z" w16du:dateUtc="2026-05-22T20:28:00Z">
        <w:r w:rsidR="008F2C15">
          <w:rPr>
            <w:rFonts w:ascii="Arial" w:hAnsi="Arial" w:cs="Arial"/>
          </w:rPr>
          <w:t>consistent</w:t>
        </w:r>
      </w:ins>
      <w:r>
        <w:rPr>
          <w:rFonts w:ascii="Arial" w:hAnsi="Arial" w:cs="Arial"/>
        </w:rPr>
        <w:t xml:space="preserve"> with </w:t>
      </w:r>
      <w:ins w:id="6" w:author="Platte Nielson" w:date="2026-05-22T14:28:00Z" w16du:dateUtc="2026-05-22T20:28:00Z">
        <w:r w:rsidR="008F2C15">
          <w:rPr>
            <w:rFonts w:ascii="Arial" w:hAnsi="Arial" w:cs="Arial"/>
          </w:rPr>
          <w:t xml:space="preserve">this policy and </w:t>
        </w:r>
      </w:ins>
      <w:r>
        <w:rPr>
          <w:rFonts w:ascii="Arial" w:hAnsi="Arial" w:cs="Arial"/>
        </w:rPr>
        <w:t>the funds allocated to and received by the School under the SHiNE Program.</w:t>
      </w:r>
      <w:r w:rsidR="0014144D">
        <w:rPr>
          <w:rFonts w:ascii="Arial" w:hAnsi="Arial" w:cs="Arial"/>
        </w:rPr>
        <w:t xml:space="preserve">  </w:t>
      </w:r>
    </w:p>
    <w:p w14:paraId="77A30713" w14:textId="77777777" w:rsidR="008F2C15" w:rsidRDefault="008F2C15" w:rsidP="00282B09">
      <w:pPr>
        <w:rPr>
          <w:ins w:id="7" w:author="Platte Nielson" w:date="2026-05-22T14:28:00Z" w16du:dateUtc="2026-05-22T20:28:00Z"/>
          <w:rFonts w:ascii="Arial" w:hAnsi="Arial" w:cs="Arial"/>
        </w:rPr>
      </w:pPr>
    </w:p>
    <w:p w14:paraId="3EA9DE90" w14:textId="77777777" w:rsidR="00BA3573" w:rsidRDefault="0014144D" w:rsidP="00282B09">
      <w:pPr>
        <w:rPr>
          <w:rFonts w:ascii="Arial" w:hAnsi="Arial" w:cs="Arial"/>
        </w:rPr>
      </w:pPr>
      <w:r w:rsidRPr="00FE6F05">
        <w:rPr>
          <w:rFonts w:ascii="Arial" w:hAnsi="Arial" w:cs="Arial"/>
        </w:rPr>
        <w:t>Eligible teachers who are assigned 1.0 FTE in a high needs area shall receive the full salary supplement.  Eligible teachers who are assigned less than 1.0 FTE in a high needs area shall receive a prorated salary supplement based on the percentage of their FTE in the high needs area.</w:t>
      </w:r>
      <w:ins w:id="8" w:author="Platte Nielson" w:date="2026-05-22T14:29:00Z" w16du:dateUtc="2026-05-22T20:29:00Z">
        <w:r w:rsidR="008F2C15">
          <w:rPr>
            <w:rFonts w:ascii="Arial" w:hAnsi="Arial" w:cs="Arial"/>
          </w:rPr>
          <w:t xml:space="preserve">  </w:t>
        </w:r>
        <w:r w:rsidR="008F2C15" w:rsidRPr="00B13E43">
          <w:rPr>
            <w:rFonts w:ascii="Arial" w:hAnsi="Arial" w:cs="Arial"/>
          </w:rPr>
          <w:t>However, if an eligible teacher’s employment with the School ends before the salary supplement is paid, the teacher shall receive only a prorated portion of the salary supplement based on the portion of the school year the teacher worked at the School.</w:t>
        </w:r>
      </w:ins>
    </w:p>
    <w:p w14:paraId="5A5B1637" w14:textId="77777777" w:rsidR="00BA3573" w:rsidRDefault="00BA3573" w:rsidP="00282B09">
      <w:pPr>
        <w:rPr>
          <w:rFonts w:ascii="Arial" w:hAnsi="Arial" w:cs="Arial"/>
        </w:rPr>
      </w:pPr>
    </w:p>
    <w:p w14:paraId="78A2A578" w14:textId="3916D49E" w:rsidR="00282B09" w:rsidRDefault="00BA3573" w:rsidP="00282B09">
      <w:pPr>
        <w:rPr>
          <w:rFonts w:ascii="Arial" w:hAnsi="Arial" w:cs="Arial"/>
        </w:rPr>
      </w:pPr>
      <w:ins w:id="9" w:author="Platte Nielson" w:date="2026-05-29T14:50:00Z" w16du:dateUtc="2026-05-29T20:50:00Z">
        <w:r w:rsidRPr="00743B77">
          <w:rPr>
            <w:rFonts w:ascii="Arial" w:hAnsi="Arial" w:cs="Arial"/>
          </w:rPr>
          <w:t>In addition, an eligible teacher who begins employment with the School after the certified list described above has been finalized shall not be entitled to a salary supplement. However, the</w:t>
        </w:r>
      </w:ins>
      <w:ins w:id="10" w:author="Platte Nielson" w:date="2026-06-03T09:40:00Z" w16du:dateUtc="2026-06-03T15:40:00Z">
        <w:r>
          <w:rPr>
            <w:rFonts w:ascii="Arial" w:hAnsi="Arial" w:cs="Arial"/>
          </w:rPr>
          <w:t xml:space="preserve"> Lead Director</w:t>
        </w:r>
      </w:ins>
      <w:ins w:id="11" w:author="Platte Nielson" w:date="2026-05-29T14:50:00Z" w16du:dateUtc="2026-05-29T20:50:00Z">
        <w:r w:rsidRPr="00743B77">
          <w:rPr>
            <w:rFonts w:ascii="Arial" w:hAnsi="Arial" w:cs="Arial"/>
          </w:rPr>
          <w:t xml:space="preserve"> may, in the </w:t>
        </w:r>
      </w:ins>
      <w:ins w:id="12" w:author="Platte Nielson" w:date="2026-06-03T09:40:00Z" w16du:dateUtc="2026-06-03T15:40:00Z">
        <w:r>
          <w:rPr>
            <w:rFonts w:ascii="Arial" w:hAnsi="Arial" w:cs="Arial"/>
          </w:rPr>
          <w:t>Lead Director’s</w:t>
        </w:r>
      </w:ins>
      <w:ins w:id="13" w:author="Platte Nielson" w:date="2026-05-29T14:50:00Z" w16du:dateUtc="2026-05-29T20:50:00Z">
        <w:r w:rsidRPr="00743B77">
          <w:rPr>
            <w:rFonts w:ascii="Arial" w:hAnsi="Arial" w:cs="Arial"/>
          </w:rPr>
          <w:t xml:space="preserve"> sole discretion and subject to available SHiNE Program funding, award such teacher a prorated salary supplement based on the portion of the school year the teacher </w:t>
        </w:r>
        <w:r>
          <w:rPr>
            <w:rFonts w:ascii="Arial" w:hAnsi="Arial" w:cs="Arial"/>
          </w:rPr>
          <w:t xml:space="preserve">worked at </w:t>
        </w:r>
        <w:r w:rsidRPr="00743B77">
          <w:rPr>
            <w:rFonts w:ascii="Arial" w:hAnsi="Arial" w:cs="Arial"/>
          </w:rPr>
          <w:t>the School.</w:t>
        </w:r>
      </w:ins>
      <w:r w:rsidR="00282B09">
        <w:rPr>
          <w:rFonts w:ascii="Arial" w:hAnsi="Arial" w:cs="Arial"/>
        </w:rPr>
        <w:t xml:space="preserve">  </w:t>
      </w:r>
    </w:p>
    <w:bookmarkEnd w:id="2"/>
    <w:p w14:paraId="12B2EB27" w14:textId="77777777" w:rsidR="00282B09" w:rsidRDefault="00282B09" w:rsidP="00282B09">
      <w:pPr>
        <w:rPr>
          <w:rFonts w:ascii="Arial" w:hAnsi="Arial" w:cs="Arial"/>
        </w:rPr>
      </w:pPr>
    </w:p>
    <w:p w14:paraId="74F3E2B3" w14:textId="77777777" w:rsidR="00282B09" w:rsidRDefault="00282B09" w:rsidP="00282B09">
      <w:pPr>
        <w:rPr>
          <w:rFonts w:ascii="Arial" w:hAnsi="Arial" w:cs="Arial"/>
        </w:rPr>
      </w:pPr>
      <w:r>
        <w:rPr>
          <w:rFonts w:ascii="Arial" w:hAnsi="Arial" w:cs="Arial"/>
        </w:rPr>
        <w:t>The School may increase the amount of funds the School provides to eligible teachers if the School:</w:t>
      </w:r>
    </w:p>
    <w:p w14:paraId="4B4CDB52" w14:textId="77777777" w:rsidR="00282B09" w:rsidRDefault="00282B09" w:rsidP="00282B09">
      <w:pPr>
        <w:rPr>
          <w:rFonts w:ascii="Arial" w:hAnsi="Arial" w:cs="Arial"/>
        </w:rPr>
      </w:pPr>
    </w:p>
    <w:p w14:paraId="5E86C103" w14:textId="77777777" w:rsidR="00282B09" w:rsidRPr="00935AF8" w:rsidRDefault="00282B09" w:rsidP="00282B09">
      <w:pPr>
        <w:ind w:left="720" w:hanging="360"/>
        <w:rPr>
          <w:rFonts w:ascii="Arial" w:hAnsi="Arial" w:cs="Arial"/>
        </w:rPr>
      </w:pPr>
      <w:r w:rsidRPr="00935AF8">
        <w:rPr>
          <w:rFonts w:ascii="Arial" w:hAnsi="Arial" w:cs="Arial"/>
        </w:rPr>
        <w:t>(a</w:t>
      </w:r>
      <w:r>
        <w:rPr>
          <w:rFonts w:ascii="Arial" w:hAnsi="Arial" w:cs="Arial"/>
        </w:rPr>
        <w:t xml:space="preserve">) </w:t>
      </w:r>
      <w:r w:rsidRPr="00935AF8">
        <w:rPr>
          <w:rFonts w:ascii="Arial" w:hAnsi="Arial" w:cs="Arial"/>
        </w:rPr>
        <w:t xml:space="preserve">first ensures proper distribution of funds the School receives under the </w:t>
      </w:r>
      <w:r>
        <w:rPr>
          <w:rFonts w:ascii="Arial" w:hAnsi="Arial" w:cs="Arial"/>
        </w:rPr>
        <w:t>SHiNE Program</w:t>
      </w:r>
      <w:r w:rsidRPr="00935AF8">
        <w:rPr>
          <w:rFonts w:ascii="Arial" w:hAnsi="Arial" w:cs="Arial"/>
        </w:rPr>
        <w:t xml:space="preserve"> to the School’s </w:t>
      </w:r>
      <w:r>
        <w:rPr>
          <w:rFonts w:ascii="Arial" w:hAnsi="Arial" w:cs="Arial"/>
        </w:rPr>
        <w:t xml:space="preserve">eligible </w:t>
      </w:r>
      <w:r w:rsidRPr="00935AF8">
        <w:rPr>
          <w:rFonts w:ascii="Arial" w:hAnsi="Arial" w:cs="Arial"/>
        </w:rPr>
        <w:t>teachers; and</w:t>
      </w:r>
    </w:p>
    <w:p w14:paraId="72A78354" w14:textId="77777777" w:rsidR="00282B09" w:rsidRPr="00935AF8" w:rsidRDefault="00282B09" w:rsidP="00282B09">
      <w:pPr>
        <w:ind w:left="720" w:hanging="360"/>
        <w:rPr>
          <w:rFonts w:ascii="Arial" w:hAnsi="Arial" w:cs="Arial"/>
        </w:rPr>
      </w:pPr>
      <w:r w:rsidRPr="00935AF8">
        <w:rPr>
          <w:rFonts w:ascii="Arial" w:hAnsi="Arial" w:cs="Arial"/>
        </w:rPr>
        <w:t>(b)</w:t>
      </w:r>
      <w:r>
        <w:rPr>
          <w:rFonts w:ascii="Arial" w:hAnsi="Arial" w:cs="Arial"/>
        </w:rPr>
        <w:tab/>
        <w:t>experiences a carry forward or leftover balance.</w:t>
      </w:r>
    </w:p>
    <w:p w14:paraId="1F66154B" w14:textId="77777777" w:rsidR="00282B09" w:rsidRDefault="00282B09" w:rsidP="00282B09">
      <w:pPr>
        <w:rPr>
          <w:rFonts w:ascii="Arial" w:hAnsi="Arial" w:cs="Arial"/>
        </w:rPr>
      </w:pPr>
    </w:p>
    <w:p w14:paraId="2A4BA7C1" w14:textId="77777777" w:rsidR="00282B09" w:rsidRPr="00B03103" w:rsidRDefault="00282B09" w:rsidP="00282B09">
      <w:pPr>
        <w:rPr>
          <w:rFonts w:ascii="Arial" w:hAnsi="Arial" w:cs="Arial"/>
          <w:u w:val="single"/>
        </w:rPr>
      </w:pPr>
      <w:r>
        <w:rPr>
          <w:rFonts w:ascii="Arial" w:hAnsi="Arial" w:cs="Arial"/>
          <w:u w:val="single"/>
        </w:rPr>
        <w:t>Appeals</w:t>
      </w:r>
    </w:p>
    <w:p w14:paraId="336F51DC" w14:textId="77777777" w:rsidR="00282B09" w:rsidRDefault="00282B09" w:rsidP="00282B09">
      <w:pPr>
        <w:rPr>
          <w:rFonts w:ascii="Arial" w:hAnsi="Arial" w:cs="Arial"/>
        </w:rPr>
      </w:pPr>
    </w:p>
    <w:p w14:paraId="50A427FB" w14:textId="1621492D" w:rsidR="00282B09" w:rsidRDefault="00282B09" w:rsidP="00282B09">
      <w:pPr>
        <w:rPr>
          <w:rFonts w:ascii="Arial" w:hAnsi="Arial" w:cs="Arial"/>
        </w:rPr>
      </w:pPr>
      <w:r>
        <w:rPr>
          <w:rFonts w:ascii="Arial" w:hAnsi="Arial" w:cs="Arial"/>
        </w:rPr>
        <w:lastRenderedPageBreak/>
        <w:t>If the School’s Lead Director or his/her designee determines that a teacher does not meet the definition of eligible teacher and therefore does not qualify for a salary supplement under the SHiNE Program, the teacher may appeal that decision in writing to the School’s Board of Directors (the “Board”) if the teacher:</w:t>
      </w:r>
    </w:p>
    <w:p w14:paraId="449EB7D4" w14:textId="77777777" w:rsidR="00282B09" w:rsidRDefault="00282B09" w:rsidP="00282B09">
      <w:pPr>
        <w:rPr>
          <w:rFonts w:ascii="Arial" w:hAnsi="Arial" w:cs="Arial"/>
        </w:rPr>
      </w:pPr>
    </w:p>
    <w:p w14:paraId="17FF0C38" w14:textId="77777777" w:rsidR="00282B09" w:rsidRDefault="00282B09" w:rsidP="00282B09">
      <w:pPr>
        <w:ind w:left="720" w:hanging="360"/>
        <w:rPr>
          <w:rFonts w:ascii="Arial" w:hAnsi="Arial" w:cs="Arial"/>
        </w:rPr>
      </w:pPr>
      <w:r>
        <w:rPr>
          <w:rFonts w:ascii="Arial" w:hAnsi="Arial" w:cs="Arial"/>
        </w:rPr>
        <w:t>(a)</w:t>
      </w:r>
      <w:r>
        <w:rPr>
          <w:rFonts w:ascii="Arial" w:hAnsi="Arial" w:cs="Arial"/>
        </w:rPr>
        <w:tab/>
        <w:t>believes he/she does meet the definition of eligible teacher under this policy; or</w:t>
      </w:r>
    </w:p>
    <w:p w14:paraId="2E848FC5" w14:textId="77777777" w:rsidR="00282B09" w:rsidRDefault="00282B09" w:rsidP="00282B09">
      <w:pPr>
        <w:ind w:left="720" w:hanging="360"/>
        <w:rPr>
          <w:rFonts w:ascii="Arial" w:hAnsi="Arial" w:cs="Arial"/>
        </w:rPr>
      </w:pPr>
      <w:r>
        <w:rPr>
          <w:rFonts w:ascii="Arial" w:hAnsi="Arial" w:cs="Arial"/>
        </w:rPr>
        <w:t>(b)</w:t>
      </w:r>
      <w:r>
        <w:rPr>
          <w:rFonts w:ascii="Arial" w:hAnsi="Arial" w:cs="Arial"/>
        </w:rPr>
        <w:tab/>
        <w:t>has a teaching assignment at the School that is substantially equivalent to a high-needs area and otherwise meets the definition of eligible teacher under this policy.</w:t>
      </w:r>
    </w:p>
    <w:p w14:paraId="2E8C40B9" w14:textId="77777777" w:rsidR="00282B09" w:rsidRDefault="00282B09" w:rsidP="00282B09">
      <w:pPr>
        <w:rPr>
          <w:rFonts w:ascii="Arial" w:hAnsi="Arial" w:cs="Arial"/>
        </w:rPr>
      </w:pPr>
    </w:p>
    <w:p w14:paraId="559BCFF9" w14:textId="77777777" w:rsidR="00282B09" w:rsidRDefault="00282B09" w:rsidP="00282B09">
      <w:pPr>
        <w:rPr>
          <w:rFonts w:ascii="Arial" w:hAnsi="Arial" w:cs="Arial"/>
        </w:rPr>
      </w:pPr>
      <w:r>
        <w:rPr>
          <w:rFonts w:ascii="Arial" w:hAnsi="Arial" w:cs="Arial"/>
        </w:rPr>
        <w:t xml:space="preserve">When submitting an appeal, a teacher is required, at minimum, to provide transcripts and other documentation to the Board </w:t>
      </w:r>
      <w:proofErr w:type="gramStart"/>
      <w:r>
        <w:rPr>
          <w:rFonts w:ascii="Arial" w:hAnsi="Arial" w:cs="Arial"/>
        </w:rPr>
        <w:t>in order for</w:t>
      </w:r>
      <w:proofErr w:type="gramEnd"/>
      <w:r>
        <w:rPr>
          <w:rFonts w:ascii="Arial" w:hAnsi="Arial" w:cs="Arial"/>
        </w:rPr>
        <w:t xml:space="preserve"> the Board to determine if the teacher is an eligible teacher with a qualifying teaching background.</w:t>
      </w:r>
    </w:p>
    <w:p w14:paraId="1124910C" w14:textId="77777777" w:rsidR="008F6042" w:rsidRDefault="008F6042" w:rsidP="00282B09">
      <w:pPr>
        <w:rPr>
          <w:rFonts w:ascii="Arial" w:hAnsi="Arial" w:cs="Arial"/>
        </w:rPr>
      </w:pPr>
    </w:p>
    <w:p w14:paraId="55866A55" w14:textId="6994EBBD" w:rsidR="00282B09" w:rsidRDefault="00282B09" w:rsidP="00282B09">
      <w:pPr>
        <w:rPr>
          <w:rFonts w:ascii="Arial" w:hAnsi="Arial" w:cs="Arial"/>
        </w:rPr>
      </w:pPr>
      <w:r w:rsidRPr="0040741C">
        <w:rPr>
          <w:rFonts w:ascii="Arial" w:hAnsi="Arial" w:cs="Arial"/>
        </w:rPr>
        <w:t xml:space="preserve">The Board shall </w:t>
      </w:r>
      <w:proofErr w:type="gramStart"/>
      <w:r w:rsidRPr="0040741C">
        <w:rPr>
          <w:rFonts w:ascii="Arial" w:hAnsi="Arial" w:cs="Arial"/>
        </w:rPr>
        <w:t>make a decision</w:t>
      </w:r>
      <w:proofErr w:type="gramEnd"/>
      <w:r w:rsidRPr="0040741C">
        <w:rPr>
          <w:rFonts w:ascii="Arial" w:hAnsi="Arial" w:cs="Arial"/>
        </w:rPr>
        <w:t xml:space="preserve"> on the appeal within thirty (30) school days.</w:t>
      </w:r>
    </w:p>
    <w:p w14:paraId="20AA27C8" w14:textId="77777777" w:rsidR="00282B09" w:rsidRDefault="00282B09" w:rsidP="00282B09">
      <w:pPr>
        <w:rPr>
          <w:rFonts w:ascii="Arial" w:hAnsi="Arial" w:cs="Arial"/>
        </w:rPr>
      </w:pPr>
    </w:p>
    <w:p w14:paraId="3AC4E286" w14:textId="77777777" w:rsidR="00282B09" w:rsidRDefault="00282B09" w:rsidP="00282B09">
      <w:pPr>
        <w:rPr>
          <w:rFonts w:ascii="Arial" w:hAnsi="Arial" w:cs="Arial"/>
          <w:u w:val="single"/>
        </w:rPr>
      </w:pPr>
      <w:bookmarkStart w:id="14" w:name="_Hlk195630811"/>
      <w:r>
        <w:rPr>
          <w:rFonts w:ascii="Arial" w:hAnsi="Arial" w:cs="Arial"/>
          <w:u w:val="single"/>
        </w:rPr>
        <w:t>Administrative Procedures</w:t>
      </w:r>
    </w:p>
    <w:p w14:paraId="2E32F15E" w14:textId="77777777" w:rsidR="00282B09" w:rsidRDefault="00282B09" w:rsidP="00282B09">
      <w:pPr>
        <w:rPr>
          <w:rFonts w:ascii="Arial" w:hAnsi="Arial" w:cs="Arial"/>
          <w:u w:val="single"/>
        </w:rPr>
      </w:pPr>
    </w:p>
    <w:p w14:paraId="73626FF2" w14:textId="1D9835B7" w:rsidR="00282B09" w:rsidRDefault="00282B09" w:rsidP="00282B09">
      <w:pPr>
        <w:rPr>
          <w:rFonts w:ascii="Arial" w:hAnsi="Arial" w:cs="Arial"/>
        </w:rPr>
      </w:pPr>
      <w:r>
        <w:rPr>
          <w:rFonts w:ascii="Arial" w:hAnsi="Arial" w:cs="Arial"/>
        </w:rPr>
        <w:t>Each school year t</w:t>
      </w:r>
      <w:r w:rsidRPr="002352B9">
        <w:rPr>
          <w:rFonts w:ascii="Arial" w:hAnsi="Arial" w:cs="Arial"/>
        </w:rPr>
        <w:t xml:space="preserve">he </w:t>
      </w:r>
      <w:r>
        <w:rPr>
          <w:rFonts w:ascii="Arial" w:hAnsi="Arial" w:cs="Arial"/>
        </w:rPr>
        <w:t>Lead Director shall establish, through administrative procedures, the salary supplement amount that each eligible teacher will receive for that school year.</w:t>
      </w:r>
    </w:p>
    <w:bookmarkEnd w:id="14"/>
    <w:p w14:paraId="226D9E16" w14:textId="77777777" w:rsidR="00282B09" w:rsidRDefault="00282B09" w:rsidP="00282B09">
      <w:pPr>
        <w:rPr>
          <w:rFonts w:ascii="Arial" w:hAnsi="Arial" w:cs="Arial"/>
        </w:rPr>
      </w:pPr>
    </w:p>
    <w:p w14:paraId="62567F8B" w14:textId="77777777" w:rsidR="00282B09" w:rsidRDefault="00282B09" w:rsidP="00282B09">
      <w:pPr>
        <w:rPr>
          <w:rFonts w:ascii="Arial" w:hAnsi="Arial" w:cs="Arial"/>
          <w:u w:val="single"/>
        </w:rPr>
      </w:pPr>
      <w:r>
        <w:rPr>
          <w:rFonts w:ascii="Arial" w:hAnsi="Arial" w:cs="Arial"/>
          <w:u w:val="single"/>
        </w:rPr>
        <w:t>Updating Policy</w:t>
      </w:r>
    </w:p>
    <w:p w14:paraId="2B67D143" w14:textId="77777777" w:rsidR="00282B09" w:rsidRDefault="00282B09" w:rsidP="00282B09">
      <w:pPr>
        <w:rPr>
          <w:rFonts w:ascii="Arial" w:hAnsi="Arial" w:cs="Arial"/>
          <w:u w:val="single"/>
        </w:rPr>
      </w:pPr>
    </w:p>
    <w:p w14:paraId="48D3C20B" w14:textId="77777777" w:rsidR="00282B09" w:rsidRDefault="00282B09" w:rsidP="00282B09">
      <w:pPr>
        <w:rPr>
          <w:rFonts w:ascii="Arial" w:hAnsi="Arial" w:cs="Arial"/>
        </w:rPr>
      </w:pPr>
      <w:r>
        <w:rPr>
          <w:rFonts w:ascii="Arial" w:hAnsi="Arial" w:cs="Arial"/>
        </w:rPr>
        <w:t>The School shall update this policy annually and provide notice of any changes to the policy to teachers within the School.</w:t>
      </w:r>
    </w:p>
    <w:p w14:paraId="79FCE3C4" w14:textId="348873D7" w:rsidR="00282B09" w:rsidRDefault="00282B09" w:rsidP="00383F9B">
      <w:pPr>
        <w:pStyle w:val="NormalWeb"/>
        <w:spacing w:before="0" w:beforeAutospacing="0" w:after="0" w:afterAutospacing="0"/>
        <w:rPr>
          <w:rFonts w:ascii="Arial" w:hAnsi="Arial" w:cs="Arial"/>
          <w:b/>
          <w:bCs/>
        </w:rPr>
      </w:pPr>
    </w:p>
    <w:sectPr w:rsidR="00282B09" w:rsidSect="0042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ABF"/>
    <w:multiLevelType w:val="hybridMultilevel"/>
    <w:tmpl w:val="3DE27E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383FF0"/>
    <w:multiLevelType w:val="hybridMultilevel"/>
    <w:tmpl w:val="3DE27E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314CD0"/>
    <w:multiLevelType w:val="hybridMultilevel"/>
    <w:tmpl w:val="07583658"/>
    <w:lvl w:ilvl="0" w:tplc="A58A1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615E9"/>
    <w:multiLevelType w:val="hybridMultilevel"/>
    <w:tmpl w:val="14426DEA"/>
    <w:lvl w:ilvl="0" w:tplc="8C3C3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C07E1E"/>
    <w:multiLevelType w:val="hybridMultilevel"/>
    <w:tmpl w:val="3DE27E72"/>
    <w:lvl w:ilvl="0" w:tplc="93EE94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C0E7A"/>
    <w:multiLevelType w:val="hybridMultilevel"/>
    <w:tmpl w:val="3DE27E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2127854">
    <w:abstractNumId w:val="2"/>
  </w:num>
  <w:num w:numId="2" w16cid:durableId="422190141">
    <w:abstractNumId w:val="3"/>
  </w:num>
  <w:num w:numId="3" w16cid:durableId="1667242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676696">
    <w:abstractNumId w:val="4"/>
  </w:num>
  <w:num w:numId="5" w16cid:durableId="39061687">
    <w:abstractNumId w:val="5"/>
  </w:num>
  <w:num w:numId="6" w16cid:durableId="355934623">
    <w:abstractNumId w:val="1"/>
  </w:num>
  <w:num w:numId="7" w16cid:durableId="14534744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atte Nielson">
    <w15:presenceInfo w15:providerId="AD" w15:userId="S::platte.nielson@awservices.com::cfacad04-96a4-4614-b6a1-811ea3575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4F"/>
    <w:rsid w:val="00072E1F"/>
    <w:rsid w:val="000A078B"/>
    <w:rsid w:val="000A423F"/>
    <w:rsid w:val="000C6C00"/>
    <w:rsid w:val="000E1A49"/>
    <w:rsid w:val="000E75FA"/>
    <w:rsid w:val="00131E47"/>
    <w:rsid w:val="0014144D"/>
    <w:rsid w:val="00186830"/>
    <w:rsid w:val="001F05F5"/>
    <w:rsid w:val="00210EE6"/>
    <w:rsid w:val="00282B09"/>
    <w:rsid w:val="003635BE"/>
    <w:rsid w:val="00383F9B"/>
    <w:rsid w:val="003D3262"/>
    <w:rsid w:val="00425AD5"/>
    <w:rsid w:val="004A12B8"/>
    <w:rsid w:val="00547F29"/>
    <w:rsid w:val="00552EAA"/>
    <w:rsid w:val="005D4BA2"/>
    <w:rsid w:val="00620166"/>
    <w:rsid w:val="00637A7F"/>
    <w:rsid w:val="006F3CBF"/>
    <w:rsid w:val="00741640"/>
    <w:rsid w:val="00752A13"/>
    <w:rsid w:val="00821DD8"/>
    <w:rsid w:val="008435FC"/>
    <w:rsid w:val="008F2C15"/>
    <w:rsid w:val="008F6042"/>
    <w:rsid w:val="00926105"/>
    <w:rsid w:val="00955075"/>
    <w:rsid w:val="00986BE9"/>
    <w:rsid w:val="009A7C73"/>
    <w:rsid w:val="00A21763"/>
    <w:rsid w:val="00A908E9"/>
    <w:rsid w:val="00A91E8B"/>
    <w:rsid w:val="00AD3C74"/>
    <w:rsid w:val="00B238C6"/>
    <w:rsid w:val="00B30C86"/>
    <w:rsid w:val="00B37F31"/>
    <w:rsid w:val="00BA3573"/>
    <w:rsid w:val="00BD5CCA"/>
    <w:rsid w:val="00D361D3"/>
    <w:rsid w:val="00D7646E"/>
    <w:rsid w:val="00E410F5"/>
    <w:rsid w:val="00E44CCE"/>
    <w:rsid w:val="00E6794F"/>
    <w:rsid w:val="00EE09CA"/>
    <w:rsid w:val="00EF3BAB"/>
    <w:rsid w:val="00F42AA6"/>
    <w:rsid w:val="00F51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BB8A1"/>
  <w14:defaultImageDpi w14:val="300"/>
  <w15:docId w15:val="{881A0BFF-7691-FF40-9FEF-217FF7EB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4F"/>
    <w:rPr>
      <w:rFonts w:ascii="Times New Roman" w:eastAsia="Times New Roman" w:hAnsi="Times New Roman" w:cs="Times New Roman"/>
    </w:rPr>
  </w:style>
  <w:style w:type="paragraph" w:styleId="Heading1">
    <w:name w:val="heading 1"/>
    <w:basedOn w:val="Normal"/>
    <w:next w:val="Normal"/>
    <w:link w:val="Heading1Char"/>
    <w:qFormat/>
    <w:rsid w:val="00955075"/>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6794F"/>
    <w:pPr>
      <w:spacing w:before="100" w:beforeAutospacing="1" w:after="100" w:afterAutospacing="1"/>
    </w:pPr>
  </w:style>
  <w:style w:type="paragraph" w:styleId="Revision">
    <w:name w:val="Revision"/>
    <w:hidden/>
    <w:uiPriority w:val="99"/>
    <w:semiHidden/>
    <w:rsid w:val="00552EAA"/>
    <w:rPr>
      <w:rFonts w:ascii="Times New Roman" w:eastAsia="Times New Roman" w:hAnsi="Times New Roman" w:cs="Times New Roman"/>
    </w:rPr>
  </w:style>
  <w:style w:type="character" w:styleId="Hyperlink">
    <w:name w:val="Hyperlink"/>
    <w:basedOn w:val="DefaultParagraphFont"/>
    <w:uiPriority w:val="99"/>
    <w:unhideWhenUsed/>
    <w:rsid w:val="00821DD8"/>
    <w:rPr>
      <w:color w:val="0000FF" w:themeColor="hyperlink"/>
      <w:u w:val="single"/>
    </w:rPr>
  </w:style>
  <w:style w:type="character" w:styleId="UnresolvedMention">
    <w:name w:val="Unresolved Mention"/>
    <w:basedOn w:val="DefaultParagraphFont"/>
    <w:uiPriority w:val="99"/>
    <w:semiHidden/>
    <w:unhideWhenUsed/>
    <w:rsid w:val="00821DD8"/>
    <w:rPr>
      <w:color w:val="605E5C"/>
      <w:shd w:val="clear" w:color="auto" w:fill="E1DFDD"/>
    </w:rPr>
  </w:style>
  <w:style w:type="character" w:customStyle="1" w:styleId="Heading1Char">
    <w:name w:val="Heading 1 Char"/>
    <w:basedOn w:val="DefaultParagraphFont"/>
    <w:link w:val="Heading1"/>
    <w:rsid w:val="00955075"/>
    <w:rPr>
      <w:rFonts w:asciiTheme="majorHAnsi" w:eastAsiaTheme="majorEastAsia" w:hAnsiTheme="majorHAnsi" w:cstheme="majorBidi"/>
      <w:color w:val="365F91" w:themeColor="accent1" w:themeShade="BF"/>
      <w:kern w:val="2"/>
      <w:sz w:val="40"/>
      <w:szCs w:val="40"/>
      <w14:ligatures w14:val="standardContextual"/>
    </w:rPr>
  </w:style>
  <w:style w:type="paragraph" w:styleId="ListParagraph">
    <w:name w:val="List Paragraph"/>
    <w:basedOn w:val="Normal"/>
    <w:uiPriority w:val="34"/>
    <w:qFormat/>
    <w:rsid w:val="00955075"/>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75861">
      <w:bodyDiv w:val="1"/>
      <w:marLeft w:val="0"/>
      <w:marRight w:val="0"/>
      <w:marTop w:val="0"/>
      <w:marBottom w:val="0"/>
      <w:divBdr>
        <w:top w:val="none" w:sz="0" w:space="0" w:color="auto"/>
        <w:left w:val="none" w:sz="0" w:space="0" w:color="auto"/>
        <w:bottom w:val="none" w:sz="0" w:space="0" w:color="auto"/>
        <w:right w:val="none" w:sz="0" w:space="0" w:color="auto"/>
      </w:divBdr>
    </w:div>
    <w:div w:id="556403776">
      <w:bodyDiv w:val="1"/>
      <w:marLeft w:val="0"/>
      <w:marRight w:val="0"/>
      <w:marTop w:val="0"/>
      <w:marBottom w:val="0"/>
      <w:divBdr>
        <w:top w:val="none" w:sz="0" w:space="0" w:color="auto"/>
        <w:left w:val="none" w:sz="0" w:space="0" w:color="auto"/>
        <w:bottom w:val="none" w:sz="0" w:space="0" w:color="auto"/>
        <w:right w:val="none" w:sz="0" w:space="0" w:color="auto"/>
      </w:divBdr>
      <w:divsChild>
        <w:div w:id="1240209931">
          <w:marLeft w:val="0"/>
          <w:marRight w:val="0"/>
          <w:marTop w:val="0"/>
          <w:marBottom w:val="0"/>
          <w:divBdr>
            <w:top w:val="none" w:sz="0" w:space="0" w:color="auto"/>
            <w:left w:val="none" w:sz="0" w:space="0" w:color="auto"/>
            <w:bottom w:val="none" w:sz="0" w:space="0" w:color="auto"/>
            <w:right w:val="none" w:sz="0" w:space="0" w:color="auto"/>
          </w:divBdr>
          <w:divsChild>
            <w:div w:id="920793937">
              <w:marLeft w:val="0"/>
              <w:marRight w:val="0"/>
              <w:marTop w:val="0"/>
              <w:marBottom w:val="0"/>
              <w:divBdr>
                <w:top w:val="none" w:sz="0" w:space="0" w:color="auto"/>
                <w:left w:val="none" w:sz="0" w:space="0" w:color="auto"/>
                <w:bottom w:val="none" w:sz="0" w:space="0" w:color="auto"/>
                <w:right w:val="none" w:sz="0" w:space="0" w:color="auto"/>
              </w:divBdr>
              <w:divsChild>
                <w:div w:id="85345920">
                  <w:marLeft w:val="0"/>
                  <w:marRight w:val="0"/>
                  <w:marTop w:val="0"/>
                  <w:marBottom w:val="0"/>
                  <w:divBdr>
                    <w:top w:val="none" w:sz="0" w:space="0" w:color="auto"/>
                    <w:left w:val="none" w:sz="0" w:space="0" w:color="auto"/>
                    <w:bottom w:val="none" w:sz="0" w:space="0" w:color="auto"/>
                    <w:right w:val="none" w:sz="0" w:space="0" w:color="auto"/>
                  </w:divBdr>
                  <w:divsChild>
                    <w:div w:id="4509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19856">
      <w:bodyDiv w:val="1"/>
      <w:marLeft w:val="0"/>
      <w:marRight w:val="0"/>
      <w:marTop w:val="0"/>
      <w:marBottom w:val="0"/>
      <w:divBdr>
        <w:top w:val="none" w:sz="0" w:space="0" w:color="auto"/>
        <w:left w:val="none" w:sz="0" w:space="0" w:color="auto"/>
        <w:bottom w:val="none" w:sz="0" w:space="0" w:color="auto"/>
        <w:right w:val="none" w:sz="0" w:space="0" w:color="auto"/>
      </w:divBdr>
    </w:div>
    <w:div w:id="1159273047">
      <w:bodyDiv w:val="1"/>
      <w:marLeft w:val="0"/>
      <w:marRight w:val="0"/>
      <w:marTop w:val="0"/>
      <w:marBottom w:val="0"/>
      <w:divBdr>
        <w:top w:val="none" w:sz="0" w:space="0" w:color="auto"/>
        <w:left w:val="none" w:sz="0" w:space="0" w:color="auto"/>
        <w:bottom w:val="none" w:sz="0" w:space="0" w:color="auto"/>
        <w:right w:val="none" w:sz="0" w:space="0" w:color="auto"/>
      </w:divBdr>
      <w:divsChild>
        <w:div w:id="1598630880">
          <w:marLeft w:val="0"/>
          <w:marRight w:val="0"/>
          <w:marTop w:val="0"/>
          <w:marBottom w:val="0"/>
          <w:divBdr>
            <w:top w:val="none" w:sz="0" w:space="0" w:color="auto"/>
            <w:left w:val="none" w:sz="0" w:space="0" w:color="auto"/>
            <w:bottom w:val="none" w:sz="0" w:space="0" w:color="auto"/>
            <w:right w:val="none" w:sz="0" w:space="0" w:color="auto"/>
          </w:divBdr>
          <w:divsChild>
            <w:div w:id="387458577">
              <w:marLeft w:val="0"/>
              <w:marRight w:val="0"/>
              <w:marTop w:val="0"/>
              <w:marBottom w:val="0"/>
              <w:divBdr>
                <w:top w:val="none" w:sz="0" w:space="0" w:color="auto"/>
                <w:left w:val="none" w:sz="0" w:space="0" w:color="auto"/>
                <w:bottom w:val="none" w:sz="0" w:space="0" w:color="auto"/>
                <w:right w:val="none" w:sz="0" w:space="0" w:color="auto"/>
              </w:divBdr>
              <w:divsChild>
                <w:div w:id="1897163994">
                  <w:marLeft w:val="0"/>
                  <w:marRight w:val="0"/>
                  <w:marTop w:val="0"/>
                  <w:marBottom w:val="0"/>
                  <w:divBdr>
                    <w:top w:val="none" w:sz="0" w:space="0" w:color="auto"/>
                    <w:left w:val="none" w:sz="0" w:space="0" w:color="auto"/>
                    <w:bottom w:val="none" w:sz="0" w:space="0" w:color="auto"/>
                    <w:right w:val="none" w:sz="0" w:space="0" w:color="auto"/>
                  </w:divBdr>
                  <w:divsChild>
                    <w:div w:id="14546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90703">
      <w:bodyDiv w:val="1"/>
      <w:marLeft w:val="0"/>
      <w:marRight w:val="0"/>
      <w:marTop w:val="0"/>
      <w:marBottom w:val="0"/>
      <w:divBdr>
        <w:top w:val="none" w:sz="0" w:space="0" w:color="auto"/>
        <w:left w:val="none" w:sz="0" w:space="0" w:color="auto"/>
        <w:bottom w:val="none" w:sz="0" w:space="0" w:color="auto"/>
        <w:right w:val="none" w:sz="0" w:space="0" w:color="auto"/>
      </w:divBdr>
      <w:divsChild>
        <w:div w:id="1201745365">
          <w:marLeft w:val="0"/>
          <w:marRight w:val="0"/>
          <w:marTop w:val="0"/>
          <w:marBottom w:val="0"/>
          <w:divBdr>
            <w:top w:val="none" w:sz="0" w:space="0" w:color="auto"/>
            <w:left w:val="none" w:sz="0" w:space="0" w:color="auto"/>
            <w:bottom w:val="none" w:sz="0" w:space="0" w:color="auto"/>
            <w:right w:val="none" w:sz="0" w:space="0" w:color="auto"/>
          </w:divBdr>
          <w:divsChild>
            <w:div w:id="515075889">
              <w:marLeft w:val="0"/>
              <w:marRight w:val="0"/>
              <w:marTop w:val="0"/>
              <w:marBottom w:val="0"/>
              <w:divBdr>
                <w:top w:val="none" w:sz="0" w:space="0" w:color="auto"/>
                <w:left w:val="none" w:sz="0" w:space="0" w:color="auto"/>
                <w:bottom w:val="none" w:sz="0" w:space="0" w:color="auto"/>
                <w:right w:val="none" w:sz="0" w:space="0" w:color="auto"/>
              </w:divBdr>
              <w:divsChild>
                <w:div w:id="2141603255">
                  <w:marLeft w:val="0"/>
                  <w:marRight w:val="0"/>
                  <w:marTop w:val="0"/>
                  <w:marBottom w:val="0"/>
                  <w:divBdr>
                    <w:top w:val="none" w:sz="0" w:space="0" w:color="auto"/>
                    <w:left w:val="none" w:sz="0" w:space="0" w:color="auto"/>
                    <w:bottom w:val="none" w:sz="0" w:space="0" w:color="auto"/>
                    <w:right w:val="none" w:sz="0" w:space="0" w:color="auto"/>
                  </w:divBdr>
                  <w:divsChild>
                    <w:div w:id="1790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529864">
      <w:bodyDiv w:val="1"/>
      <w:marLeft w:val="0"/>
      <w:marRight w:val="0"/>
      <w:marTop w:val="0"/>
      <w:marBottom w:val="0"/>
      <w:divBdr>
        <w:top w:val="none" w:sz="0" w:space="0" w:color="auto"/>
        <w:left w:val="none" w:sz="0" w:space="0" w:color="auto"/>
        <w:bottom w:val="none" w:sz="0" w:space="0" w:color="auto"/>
        <w:right w:val="none" w:sz="0" w:space="0" w:color="auto"/>
      </w:divBdr>
      <w:divsChild>
        <w:div w:id="317272200">
          <w:marLeft w:val="0"/>
          <w:marRight w:val="0"/>
          <w:marTop w:val="0"/>
          <w:marBottom w:val="0"/>
          <w:divBdr>
            <w:top w:val="none" w:sz="0" w:space="0" w:color="auto"/>
            <w:left w:val="none" w:sz="0" w:space="0" w:color="auto"/>
            <w:bottom w:val="none" w:sz="0" w:space="0" w:color="auto"/>
            <w:right w:val="none" w:sz="0" w:space="0" w:color="auto"/>
          </w:divBdr>
          <w:divsChild>
            <w:div w:id="1258830375">
              <w:marLeft w:val="0"/>
              <w:marRight w:val="0"/>
              <w:marTop w:val="0"/>
              <w:marBottom w:val="0"/>
              <w:divBdr>
                <w:top w:val="none" w:sz="0" w:space="0" w:color="auto"/>
                <w:left w:val="none" w:sz="0" w:space="0" w:color="auto"/>
                <w:bottom w:val="none" w:sz="0" w:space="0" w:color="auto"/>
                <w:right w:val="none" w:sz="0" w:space="0" w:color="auto"/>
              </w:divBdr>
              <w:divsChild>
                <w:div w:id="1244026648">
                  <w:marLeft w:val="0"/>
                  <w:marRight w:val="0"/>
                  <w:marTop w:val="0"/>
                  <w:marBottom w:val="0"/>
                  <w:divBdr>
                    <w:top w:val="none" w:sz="0" w:space="0" w:color="auto"/>
                    <w:left w:val="none" w:sz="0" w:space="0" w:color="auto"/>
                    <w:bottom w:val="none" w:sz="0" w:space="0" w:color="auto"/>
                    <w:right w:val="none" w:sz="0" w:space="0" w:color="auto"/>
                  </w:divBdr>
                  <w:divsChild>
                    <w:div w:id="16401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9467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94">
          <w:marLeft w:val="0"/>
          <w:marRight w:val="0"/>
          <w:marTop w:val="0"/>
          <w:marBottom w:val="0"/>
          <w:divBdr>
            <w:top w:val="none" w:sz="0" w:space="0" w:color="auto"/>
            <w:left w:val="none" w:sz="0" w:space="0" w:color="auto"/>
            <w:bottom w:val="none" w:sz="0" w:space="0" w:color="auto"/>
            <w:right w:val="none" w:sz="0" w:space="0" w:color="auto"/>
          </w:divBdr>
          <w:divsChild>
            <w:div w:id="377585228">
              <w:marLeft w:val="0"/>
              <w:marRight w:val="0"/>
              <w:marTop w:val="0"/>
              <w:marBottom w:val="0"/>
              <w:divBdr>
                <w:top w:val="none" w:sz="0" w:space="0" w:color="auto"/>
                <w:left w:val="none" w:sz="0" w:space="0" w:color="auto"/>
                <w:bottom w:val="none" w:sz="0" w:space="0" w:color="auto"/>
                <w:right w:val="none" w:sz="0" w:space="0" w:color="auto"/>
              </w:divBdr>
              <w:divsChild>
                <w:div w:id="2009671953">
                  <w:marLeft w:val="0"/>
                  <w:marRight w:val="0"/>
                  <w:marTop w:val="0"/>
                  <w:marBottom w:val="0"/>
                  <w:divBdr>
                    <w:top w:val="none" w:sz="0" w:space="0" w:color="auto"/>
                    <w:left w:val="none" w:sz="0" w:space="0" w:color="auto"/>
                    <w:bottom w:val="none" w:sz="0" w:space="0" w:color="auto"/>
                    <w:right w:val="none" w:sz="0" w:space="0" w:color="auto"/>
                  </w:divBdr>
                  <w:divsChild>
                    <w:div w:id="17163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9806DD9EE7EE46B2C51133BE2FEBB2" ma:contentTypeVersion="21" ma:contentTypeDescription="Create a new document." ma:contentTypeScope="" ma:versionID="d3226c4a39413a552f40a28bb8cc539f">
  <xsd:schema xmlns:xsd="http://www.w3.org/2001/XMLSchema" xmlns:xs="http://www.w3.org/2001/XMLSchema" xmlns:p="http://schemas.microsoft.com/office/2006/metadata/properties" xmlns:ns1="http://schemas.microsoft.com/sharepoint/v3" xmlns:ns2="d1152cab-7e80-4d5d-896a-a43022c26fa2" xmlns:ns3="df334728-d4ac-46b2-bbe6-33a4af7af268" targetNamespace="http://schemas.microsoft.com/office/2006/metadata/properties" ma:root="true" ma:fieldsID="73a125ff4a2d4297d864321278014c88" ns1:_="" ns2:_="" ns3:_="">
    <xsd:import namespace="http://schemas.microsoft.com/sharepoint/v3"/>
    <xsd:import namespace="d1152cab-7e80-4d5d-896a-a43022c26fa2"/>
    <xsd:import namespace="df334728-d4ac-46b2-bbe6-33a4af7af2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bjectDetectorVersion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peop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52cab-7e80-4d5d-896a-a43022c26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6f418-96b3-4d6b-a934-14fa5f0bda1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people" ma:index="28" nillable="true" ma:displayName="people" ma:format="Dropdown" ma:list="UserInfo" ma:SharePointGroup="0" ma:internalName="peo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334728-d4ac-46b2-bbe6-33a4af7af26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2e866b7-2a5c-4e06-8e44-07a3933983fe}" ma:internalName="TaxCatchAll" ma:showField="CatchAllData" ma:web="df334728-d4ac-46b2-bbe6-33a4af7af268">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334728-d4ac-46b2-bbe6-33a4af7af268" xsi:nil="true"/>
    <_ip_UnifiedCompliancePolicyUIAction xmlns="http://schemas.microsoft.com/sharepoint/v3" xsi:nil="true"/>
    <_ip_UnifiedCompliancePolicyProperties xmlns="http://schemas.microsoft.com/sharepoint/v3" xsi:nil="true"/>
    <lcf76f155ced4ddcb4097134ff3c332f xmlns="d1152cab-7e80-4d5d-896a-a43022c26fa2">
      <Terms xmlns="http://schemas.microsoft.com/office/infopath/2007/PartnerControls"/>
    </lcf76f155ced4ddcb4097134ff3c332f>
    <people xmlns="d1152cab-7e80-4d5d-896a-a43022c26fa2">
      <UserInfo>
        <DisplayName/>
        <AccountId xsi:nil="true"/>
        <AccountType/>
      </UserInfo>
    </people>
  </documentManagement>
</p:properties>
</file>

<file path=customXml/itemProps1.xml><?xml version="1.0" encoding="utf-8"?>
<ds:datastoreItem xmlns:ds="http://schemas.openxmlformats.org/officeDocument/2006/customXml" ds:itemID="{EDA20CC0-B0AB-4918-9F27-2832B170289A}">
  <ds:schemaRefs>
    <ds:schemaRef ds:uri="http://schemas.microsoft.com/sharepoint/v3/contenttype/forms"/>
  </ds:schemaRefs>
</ds:datastoreItem>
</file>

<file path=customXml/itemProps2.xml><?xml version="1.0" encoding="utf-8"?>
<ds:datastoreItem xmlns:ds="http://schemas.openxmlformats.org/officeDocument/2006/customXml" ds:itemID="{B6CF8ABB-3D4F-42B3-B731-67681D96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152cab-7e80-4d5d-896a-a43022c26fa2"/>
    <ds:schemaRef ds:uri="df334728-d4ac-46b2-bbe6-33a4af7af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520D8-7832-4F1F-8EB9-04E6F0F4CA36}">
  <ds:schemaRefs>
    <ds:schemaRef ds:uri="http://schemas.microsoft.com/office/2006/metadata/properties"/>
    <ds:schemaRef ds:uri="http://schemas.microsoft.com/office/infopath/2007/PartnerControls"/>
    <ds:schemaRef ds:uri="df334728-d4ac-46b2-bbe6-33a4af7af268"/>
    <ds:schemaRef ds:uri="http://schemas.microsoft.com/sharepoint/v3"/>
    <ds:schemaRef ds:uri="d1152cab-7e80-4d5d-896a-a43022c26fa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4442</Characters>
  <Application>Microsoft Office Word</Application>
  <DocSecurity>0</DocSecurity>
  <Lines>116</Lines>
  <Paragraphs>43</Paragraphs>
  <ScaleCrop>false</ScaleCrop>
  <HeadingPairs>
    <vt:vector size="2" baseType="variant">
      <vt:variant>
        <vt:lpstr>Title</vt:lpstr>
      </vt:variant>
      <vt:variant>
        <vt:i4>1</vt:i4>
      </vt:variant>
    </vt:vector>
  </HeadingPairs>
  <TitlesOfParts>
    <vt:vector size="1" baseType="lpstr">
      <vt:lpstr/>
    </vt:vector>
  </TitlesOfParts>
  <Company>AcademicaWest</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Platte Nielson</dc:creator>
  <cp:keywords/>
  <dc:description/>
  <cp:lastModifiedBy>Hannah Dorius</cp:lastModifiedBy>
  <cp:revision>2</cp:revision>
  <cp:lastPrinted>2016-01-11T17:05:00Z</cp:lastPrinted>
  <dcterms:created xsi:type="dcterms:W3CDTF">2026-06-19T19:18:00Z</dcterms:created>
  <dcterms:modified xsi:type="dcterms:W3CDTF">2026-06-19T19:18:00Z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0x010100639806DD9EE7EE46B2C51133BE2FEBB2</vt:lpwstr>
  </property>
</Properties>
</file>